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B2DDD" w14:textId="77777777" w:rsidR="0050264E" w:rsidRDefault="0027646A">
      <w:pPr>
        <w:widowControl w:val="0"/>
        <w:spacing w:before="240"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ПРОТОКОЛ ЗАГАЛЬНИХ ЗБОРІВ АКЦІОНЕРІВ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eastAsia="ru-RU"/>
        </w:rPr>
        <w:t xml:space="preserve"> </w:t>
      </w:r>
    </w:p>
    <w:p w14:paraId="2C5B5A1E" w14:textId="77777777" w:rsidR="0050264E" w:rsidRDefault="0027646A">
      <w:pPr>
        <w:widowControl w:val="0"/>
        <w:spacing w:before="240"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Позачергові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загальні збори акціонерів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(далі – Загальні збори) </w:t>
      </w:r>
    </w:p>
    <w:p w14:paraId="479CFAC7" w14:textId="77777777" w:rsidR="0050264E" w:rsidRDefault="0027646A">
      <w:pPr>
        <w:widowControl w:val="0"/>
        <w:spacing w:before="240"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ПРИВАТНЕ АКЦІОНЕРНЕ ТОВАРИСТВО "РЕГІОНАЛЬНА ТЕЛЕМОВНА КОМПАНІЯ "ТОНІС-ЦЕНТР"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(код за ЄДРПОУ 14059592, далі – Товариство)</w:t>
      </w:r>
    </w:p>
    <w:p w14:paraId="6C4D81E0" w14:textId="77777777" w:rsidR="0050264E" w:rsidRDefault="0050264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747C698E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A5E1A" w14:textId="77777777" w:rsidR="0050264E" w:rsidRDefault="0027646A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Інформація про збори:</w:t>
      </w:r>
    </w:p>
    <w:tbl>
      <w:tblPr>
        <w:tblStyle w:val="af3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50264E" w14:paraId="79162DB1" w14:textId="77777777">
        <w:tc>
          <w:tcPr>
            <w:tcW w:w="5387" w:type="dxa"/>
          </w:tcPr>
          <w:p w14:paraId="3128EC7B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проведення Загальних зборів:</w:t>
            </w:r>
          </w:p>
        </w:tc>
        <w:tc>
          <w:tcPr>
            <w:tcW w:w="4253" w:type="dxa"/>
          </w:tcPr>
          <w:p w14:paraId="0A04E6C8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25.12.2025</w:t>
            </w:r>
          </w:p>
        </w:tc>
      </w:tr>
      <w:tr w:rsidR="0050264E" w14:paraId="6F90EC9A" w14:textId="77777777">
        <w:tc>
          <w:tcPr>
            <w:tcW w:w="5387" w:type="dxa"/>
          </w:tcPr>
          <w:p w14:paraId="62E3D17D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Спосіб проведення Загальних зборів:</w:t>
            </w:r>
          </w:p>
        </w:tc>
        <w:tc>
          <w:tcPr>
            <w:tcW w:w="4253" w:type="dxa"/>
          </w:tcPr>
          <w:p w14:paraId="58E8A1B8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Шляхом електронного голосування</w:t>
            </w:r>
          </w:p>
        </w:tc>
      </w:tr>
      <w:tr w:rsidR="0050264E" w14:paraId="0A729BCD" w14:textId="77777777">
        <w:tc>
          <w:tcPr>
            <w:tcW w:w="5387" w:type="dxa"/>
          </w:tcPr>
          <w:p w14:paraId="25D1CB34" w14:textId="77777777" w:rsidR="0050264E" w:rsidRDefault="0050264E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7C6D5C15" w14:textId="77777777" w:rsidR="0050264E" w:rsidRDefault="0050264E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64E" w14:paraId="718D27BA" w14:textId="77777777">
        <w:tc>
          <w:tcPr>
            <w:tcW w:w="5387" w:type="dxa"/>
          </w:tcPr>
          <w:p w14:paraId="69CFB8D9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та час початку голосування:</w:t>
            </w:r>
          </w:p>
        </w:tc>
        <w:tc>
          <w:tcPr>
            <w:tcW w:w="4253" w:type="dxa"/>
          </w:tcPr>
          <w:p w14:paraId="60F35192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25.12.2025 10:00</w:t>
            </w:r>
          </w:p>
        </w:tc>
      </w:tr>
      <w:tr w:rsidR="0050264E" w14:paraId="38F12A97" w14:textId="77777777">
        <w:tc>
          <w:tcPr>
            <w:tcW w:w="5387" w:type="dxa"/>
          </w:tcPr>
          <w:p w14:paraId="4F39F4AB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та час завершення голосування:</w:t>
            </w:r>
          </w:p>
        </w:tc>
        <w:tc>
          <w:tcPr>
            <w:tcW w:w="4253" w:type="dxa"/>
          </w:tcPr>
          <w:p w14:paraId="7D6C25C0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25.12.2025 16:00</w:t>
            </w:r>
          </w:p>
        </w:tc>
      </w:tr>
      <w:tr w:rsidR="0050264E" w14:paraId="5D4B10B0" w14:textId="77777777">
        <w:tc>
          <w:tcPr>
            <w:tcW w:w="5387" w:type="dxa"/>
          </w:tcPr>
          <w:p w14:paraId="16FBB5CE" w14:textId="77777777" w:rsidR="0050264E" w:rsidRDefault="0050264E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517A563C" w14:textId="77777777" w:rsidR="0050264E" w:rsidRDefault="0050264E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64E" w14:paraId="71385266" w14:textId="77777777">
        <w:tc>
          <w:tcPr>
            <w:tcW w:w="5387" w:type="dxa"/>
          </w:tcPr>
          <w:p w14:paraId="23CC286D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акціонерів, які мають право на участь у загальних зборах акціонерного товариства, складено станом на (далі – Перелік):</w:t>
            </w:r>
          </w:p>
        </w:tc>
        <w:tc>
          <w:tcPr>
            <w:tcW w:w="4253" w:type="dxa"/>
            <w:vAlign w:val="bottom"/>
          </w:tcPr>
          <w:p w14:paraId="6A379411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22.12.2025</w:t>
            </w:r>
          </w:p>
        </w:tc>
      </w:tr>
      <w:tr w:rsidR="008D2EA9" w14:paraId="2EDFBFA3" w14:textId="77777777">
        <w:tc>
          <w:tcPr>
            <w:tcW w:w="5387" w:type="dxa"/>
          </w:tcPr>
          <w:p w14:paraId="6701ED79" w14:textId="39D85D7E" w:rsidR="008D2EA9" w:rsidRDefault="008D2EA9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голосів акціонерів – власників голосуючих акцій товариства:</w:t>
            </w:r>
          </w:p>
        </w:tc>
        <w:tc>
          <w:tcPr>
            <w:tcW w:w="4253" w:type="dxa"/>
            <w:vAlign w:val="bottom"/>
          </w:tcPr>
          <w:p w14:paraId="50001984" w14:textId="7B42F1C3" w:rsidR="008D2EA9" w:rsidRDefault="008D2EA9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</w:tr>
      <w:tr w:rsidR="0050264E" w14:paraId="3014EAD7" w14:textId="77777777">
        <w:tc>
          <w:tcPr>
            <w:tcW w:w="5387" w:type="dxa"/>
          </w:tcPr>
          <w:p w14:paraId="18BE076C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осіб, включених до переліку акціонерів, які мають право на участь у загальних зборах:</w:t>
            </w:r>
          </w:p>
        </w:tc>
        <w:tc>
          <w:tcPr>
            <w:tcW w:w="4253" w:type="dxa"/>
            <w:vAlign w:val="bottom"/>
          </w:tcPr>
          <w:p w14:paraId="4D2F7128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264E" w14:paraId="0BD7CD43" w14:textId="77777777">
        <w:tc>
          <w:tcPr>
            <w:tcW w:w="5387" w:type="dxa"/>
          </w:tcPr>
          <w:p w14:paraId="2D8215BF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кількість голосів акціонерів - власників голосуючих акцій товариства, які зареєструвалися для участі у Загальних зборах:</w:t>
            </w:r>
          </w:p>
        </w:tc>
        <w:tc>
          <w:tcPr>
            <w:tcW w:w="4253" w:type="dxa"/>
            <w:vAlign w:val="bottom"/>
          </w:tcPr>
          <w:p w14:paraId="7288F97B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50264E" w14:paraId="3DC6D3B0" w14:textId="77777777">
        <w:tc>
          <w:tcPr>
            <w:tcW w:w="5387" w:type="dxa"/>
          </w:tcPr>
          <w:p w14:paraId="70EA3444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Кворум загальних зборів:</w:t>
            </w:r>
          </w:p>
        </w:tc>
        <w:tc>
          <w:tcPr>
            <w:tcW w:w="4253" w:type="dxa"/>
          </w:tcPr>
          <w:p w14:paraId="63E405FE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Наявний - для участі у зборах зареєструвались акціонери, які сукупно є власниками 220 шт. голосуючих акцій Товариства, що становить  55,00% голосуючих акцій.</w:t>
            </w:r>
          </w:p>
        </w:tc>
      </w:tr>
      <w:tr w:rsidR="0050264E" w14:paraId="1BEB4DAD" w14:textId="77777777">
        <w:tc>
          <w:tcPr>
            <w:tcW w:w="5387" w:type="dxa"/>
          </w:tcPr>
          <w:p w14:paraId="0FB3EECB" w14:textId="77777777" w:rsidR="0050264E" w:rsidRDefault="0050264E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04DC8BC9" w14:textId="77777777" w:rsidR="0050264E" w:rsidRDefault="0050264E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64E" w14:paraId="30EA10BE" w14:textId="77777777">
        <w:tc>
          <w:tcPr>
            <w:tcW w:w="5387" w:type="dxa"/>
          </w:tcPr>
          <w:p w14:paraId="2D0FAD68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Головуючий Загальних зборів</w:t>
            </w:r>
          </w:p>
        </w:tc>
        <w:tc>
          <w:tcPr>
            <w:tcW w:w="4253" w:type="dxa"/>
          </w:tcPr>
          <w:p w14:paraId="4D7C342A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Олешко Олег Михайлович</w:t>
            </w:r>
          </w:p>
        </w:tc>
      </w:tr>
      <w:tr w:rsidR="0050264E" w14:paraId="1DDDE5C6" w14:textId="77777777">
        <w:tc>
          <w:tcPr>
            <w:tcW w:w="5387" w:type="dxa"/>
          </w:tcPr>
          <w:p w14:paraId="1E910891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Секретар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Загальних зборів</w:t>
            </w:r>
          </w:p>
        </w:tc>
        <w:tc>
          <w:tcPr>
            <w:tcW w:w="4253" w:type="dxa"/>
          </w:tcPr>
          <w:p w14:paraId="3D02575A" w14:textId="77777777" w:rsidR="0050264E" w:rsidRDefault="0027646A">
            <w:pPr>
              <w:tabs>
                <w:tab w:val="left" w:pos="900"/>
              </w:tabs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Марченко Олександр Георгійович</w:t>
            </w:r>
          </w:p>
        </w:tc>
      </w:tr>
      <w:tr w:rsidR="0050264E" w14:paraId="0E9C2487" w14:textId="77777777">
        <w:tc>
          <w:tcPr>
            <w:tcW w:w="5387" w:type="dxa"/>
          </w:tcPr>
          <w:p w14:paraId="64C49ABE" w14:textId="77777777" w:rsidR="0050264E" w:rsidRDefault="0027646A">
            <w:pPr>
              <w:tabs>
                <w:tab w:val="left" w:pos="900"/>
              </w:tabs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</w:tc>
        <w:tc>
          <w:tcPr>
            <w:tcW w:w="4253" w:type="dxa"/>
          </w:tcPr>
          <w:p w14:paraId="6571659B" w14:textId="77777777" w:rsidR="0050264E" w:rsidRDefault="0050264E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12"/>
                <w:szCs w:val="12"/>
                <w:lang w:val="ru-RU"/>
              </w:rPr>
            </w:pPr>
          </w:p>
          <w:p w14:paraId="4A53CB71" w14:textId="77777777" w:rsidR="0050264E" w:rsidRDefault="0027646A">
            <w:pPr>
              <w:tabs>
                <w:tab w:val="left" w:pos="900"/>
              </w:tabs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Зозуля Андрій Володимирович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BB0899E" w14:textId="77777777" w:rsidR="0050264E" w:rsidRDefault="0027646A">
            <w:pPr>
              <w:tabs>
                <w:tab w:val="left" w:pos="900"/>
              </w:tabs>
              <w:spacing w:befor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Бабич Анжела Ваганівна </w:t>
            </w:r>
          </w:p>
        </w:tc>
      </w:tr>
    </w:tbl>
    <w:p w14:paraId="17321661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137B7" w14:textId="77777777" w:rsidR="0050264E" w:rsidRDefault="0027646A">
      <w:pPr>
        <w:tabs>
          <w:tab w:val="left" w:pos="900"/>
        </w:tabs>
        <w:spacing w:before="240"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денний загальних зборів</w:t>
      </w:r>
    </w:p>
    <w:p w14:paraId="19135554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D3615" w14:textId="77777777" w:rsidR="0050264E" w:rsidRDefault="0027646A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Переобрання Генерального директора Товариства, затвердження умов трудового контракту з ним, уповноваження особи на підписання контракту від імені Товариства.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16D090CF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500C1F" w14:textId="77777777" w:rsidR="0050264E" w:rsidRDefault="0027646A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Підсумки голосування із зазначенням результатів голосування з кожного питання порядку денного зборів та рішення, прийняті загальними зборами.</w:t>
      </w:r>
    </w:p>
    <w:p w14:paraId="4BEDE092" w14:textId="77777777" w:rsidR="0050264E" w:rsidRDefault="0050264E">
      <w:pPr>
        <w:tabs>
          <w:tab w:val="left" w:pos="851"/>
        </w:tabs>
        <w:spacing w:before="40" w:after="40" w:line="240" w:lineRule="auto"/>
        <w:ind w:left="-284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FCD1CAC" w14:textId="77777777" w:rsidR="0050264E" w:rsidRDefault="0027646A">
      <w:pPr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Питання, винесене на голосування:</w:t>
      </w:r>
    </w:p>
    <w:p w14:paraId="7AD1F84E" w14:textId="77777777" w:rsidR="0050264E" w:rsidRDefault="0027646A">
      <w:pPr>
        <w:widowControl w:val="0"/>
        <w:spacing w:before="24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Переобрання Генерального директора Товариства, затвердження умов трудового контракту з ним, уповноваження особи на підписання контракту від імені Товариства. </w:t>
      </w:r>
    </w:p>
    <w:p w14:paraId="642FB20F" w14:textId="77777777" w:rsidR="0050264E" w:rsidRDefault="0027646A">
      <w:pPr>
        <w:widowControl w:val="0"/>
        <w:spacing w:before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 w14:paraId="14CECEAE" w14:textId="77777777" w:rsidR="0050264E" w:rsidRDefault="0050264E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5CDBABE5" w14:textId="77777777" w:rsidR="0050264E" w:rsidRDefault="0027646A">
      <w:pPr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 рішення </w:t>
      </w:r>
      <w:r>
        <w:rPr>
          <w:rFonts w:eastAsia="Times New Roman" w:cs="Times New Roman"/>
          <w:b/>
          <w:bCs/>
          <w:i/>
          <w:iCs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25E635A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</w:t>
      </w:r>
      <w:r>
        <w:rPr>
          <w:rFonts w:ascii="Times New Roman" w:hAnsi="Times New Roman" w:cs="Times New Roman"/>
          <w:sz w:val="24"/>
          <w:szCs w:val="24"/>
        </w:rPr>
        <w:t>підписання додаткової угоди, затвердити її умови, уповноважити секретаря Зборів підписати цю додаткову угоду від імені Товариства.</w:t>
      </w:r>
    </w:p>
    <w:p w14:paraId="2A167ADE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 w14:paraId="3B746433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"ЗА" - 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B34D24A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7451F3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220 голосів.</w:t>
      </w:r>
    </w:p>
    <w:p w14:paraId="6D78B4DC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 w14:paraId="4ABF571B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Рішення не прийнято.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297D71F7" w14:textId="77777777" w:rsidR="0050264E" w:rsidRDefault="0027646A">
      <w:pPr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 рішення </w:t>
      </w:r>
      <w:r>
        <w:rPr>
          <w:rFonts w:eastAsia="Times New Roman" w:cs="Times New Roman"/>
          <w:b/>
          <w:bCs/>
          <w:i/>
          <w:iCs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89CB53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підписання додаткової угоди, затвердити її умови, уповноважити голову Зборів Олешка ОлегаМихайловича підписати цю додаткову угоду від імені Товариства.</w:t>
      </w:r>
    </w:p>
    <w:p w14:paraId="5D4A0AA3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 w14:paraId="7C870719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"ЗА" -  220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3283BE5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98EBD19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 w14:paraId="13F93A0E" w14:textId="77777777" w:rsidR="0050264E" w:rsidRDefault="0027646A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 w14:paraId="5B34F9FC" w14:textId="77777777" w:rsidR="0050264E" w:rsidRDefault="0027646A">
      <w:pPr>
        <w:spacing w:after="8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1A671CA7" w14:textId="77777777" w:rsidR="0050264E" w:rsidRDefault="0027646A">
      <w:pPr>
        <w:spacing w:after="40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42853532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Вирішили:  </w:t>
      </w:r>
      <w:r>
        <w:rPr>
          <w:rFonts w:ascii="Times New Roman" w:hAnsi="Times New Roman" w:cs="Times New Roman"/>
          <w:sz w:val="24"/>
          <w:szCs w:val="24"/>
        </w:rPr>
        <w:t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підписання додаткової угоди, затвердити її умови, уповноважити голову Зборів Олешка ОлегаМихайловича підписати цю додаткову угоду від імені Товариства.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0C2FFEC" w14:textId="77777777" w:rsidR="0050264E" w:rsidRDefault="0027646A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53E0BEA0" w14:textId="77777777" w:rsidR="0050264E" w:rsidRDefault="0050264E">
      <w:pPr>
        <w:spacing w:line="256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f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0264E" w14:paraId="3676424B" w14:textId="77777777">
        <w:tc>
          <w:tcPr>
            <w:tcW w:w="9639" w:type="dxa"/>
          </w:tcPr>
          <w:p w14:paraId="6FFDDB50" w14:textId="77777777" w:rsidR="0050264E" w:rsidRDefault="0027646A">
            <w:pPr>
              <w:tabs>
                <w:tab w:val="left" w:pos="851"/>
              </w:tabs>
              <w:spacing w:before="40" w:after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33252576" w:colFirst="0" w:colLast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 документ засвідчено електронною печаткою Центрального депозитарію цінних паперів.</w:t>
            </w:r>
          </w:p>
          <w:p w14:paraId="78D37389" w14:textId="77777777" w:rsidR="0050264E" w:rsidRDefault="0050264E">
            <w:pPr>
              <w:tabs>
                <w:tab w:val="left" w:pos="851"/>
              </w:tabs>
              <w:spacing w:before="40" w:after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044920" w14:textId="77777777" w:rsidR="0050264E" w:rsidRDefault="0027646A">
            <w:pPr>
              <w:tabs>
                <w:tab w:val="left" w:pos="851"/>
              </w:tabs>
              <w:spacing w:before="40" w:after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Цей Протокол загальних зборів акціонерів складено в дату і час його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підписання головуючим і секретарем Загальних зборів. Інформація про дату та час підписання Протоколу загальних зборів акціонерів шляхом накладення електронного підпису розкривається при перевірці електронного підпису.</w:t>
            </w:r>
          </w:p>
        </w:tc>
      </w:tr>
      <w:bookmarkEnd w:id="1"/>
    </w:tbl>
    <w:p w14:paraId="71D9FFC6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6488A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2827"/>
        <w:gridCol w:w="3115"/>
      </w:tblGrid>
      <w:tr w:rsidR="0050264E" w14:paraId="4AC3DF30" w14:textId="77777777">
        <w:tc>
          <w:tcPr>
            <w:tcW w:w="3403" w:type="dxa"/>
          </w:tcPr>
          <w:p w14:paraId="6489A87A" w14:textId="77777777" w:rsidR="0050264E" w:rsidRDefault="0050264E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0114211" w14:textId="77777777" w:rsidR="0050264E" w:rsidRDefault="0050264E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1202F51" w14:textId="77777777" w:rsidR="0050264E" w:rsidRDefault="0050264E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64E" w14:paraId="09FF30CC" w14:textId="77777777">
        <w:tc>
          <w:tcPr>
            <w:tcW w:w="3403" w:type="dxa"/>
          </w:tcPr>
          <w:p w14:paraId="57560715" w14:textId="77777777" w:rsidR="0050264E" w:rsidRDefault="0027646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Головуючий Загальних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зборів</w:t>
            </w:r>
          </w:p>
        </w:tc>
        <w:tc>
          <w:tcPr>
            <w:tcW w:w="2827" w:type="dxa"/>
          </w:tcPr>
          <w:p w14:paraId="1A5AA359" w14:textId="77777777" w:rsidR="0050264E" w:rsidRDefault="0050264E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 w14:paraId="22394455" w14:textId="77777777" w:rsidR="0050264E" w:rsidRDefault="0027646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Олешко Олег Михайлович</w:t>
            </w:r>
          </w:p>
        </w:tc>
      </w:tr>
      <w:tr w:rsidR="0050264E" w14:paraId="40729376" w14:textId="77777777">
        <w:tc>
          <w:tcPr>
            <w:tcW w:w="3403" w:type="dxa"/>
          </w:tcPr>
          <w:p w14:paraId="1DFFB344" w14:textId="77777777" w:rsidR="0050264E" w:rsidRDefault="0050264E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58CF12C" w14:textId="77777777" w:rsidR="0050264E" w:rsidRDefault="0050264E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 w14:paraId="3B0D0B0A" w14:textId="77777777" w:rsidR="0050264E" w:rsidRDefault="0050264E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7E6D4164" w14:textId="77777777" w:rsidR="0050264E" w:rsidRDefault="0050264E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0264E" w14:paraId="7C5DDA3E" w14:textId="77777777">
        <w:tc>
          <w:tcPr>
            <w:tcW w:w="3403" w:type="dxa"/>
          </w:tcPr>
          <w:p w14:paraId="068FF2B5" w14:textId="77777777" w:rsidR="0050264E" w:rsidRDefault="0027646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Загальних зборів</w:t>
            </w:r>
          </w:p>
        </w:tc>
        <w:tc>
          <w:tcPr>
            <w:tcW w:w="2827" w:type="dxa"/>
          </w:tcPr>
          <w:p w14:paraId="5B5EBF40" w14:textId="77777777" w:rsidR="0050264E" w:rsidRDefault="0050264E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15" w:type="dxa"/>
          </w:tcPr>
          <w:p w14:paraId="5CDBEE9D" w14:textId="77777777" w:rsidR="0050264E" w:rsidRDefault="0027646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Марченко Олександр Георгійович</w:t>
            </w:r>
          </w:p>
        </w:tc>
      </w:tr>
      <w:tr w:rsidR="0050264E" w14:paraId="4EF12111" w14:textId="77777777">
        <w:tc>
          <w:tcPr>
            <w:tcW w:w="3403" w:type="dxa"/>
          </w:tcPr>
          <w:p w14:paraId="378A7B3A" w14:textId="77777777" w:rsidR="0050264E" w:rsidRDefault="0050264E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6A63FE7" w14:textId="77777777" w:rsidR="0050264E" w:rsidRDefault="0050264E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42EE66F8" w14:textId="77777777" w:rsidR="0050264E" w:rsidRDefault="0050264E">
            <w:pPr>
              <w:tabs>
                <w:tab w:val="left" w:pos="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8E7560" w14:textId="77777777" w:rsidR="0050264E" w:rsidRDefault="0050264E">
      <w:pPr>
        <w:tabs>
          <w:tab w:val="left" w:pos="900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9A270" w14:textId="77777777" w:rsidR="0050264E" w:rsidRDefault="0050264E">
      <w:pPr>
        <w:rPr>
          <w:lang w:val="en-US"/>
        </w:rPr>
      </w:pPr>
    </w:p>
    <w:sectPr w:rsidR="0050264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20E50" w14:textId="77777777" w:rsidR="0050264E" w:rsidRDefault="0027646A">
      <w:pPr>
        <w:spacing w:after="0" w:line="240" w:lineRule="auto"/>
      </w:pPr>
      <w:r>
        <w:separator/>
      </w:r>
    </w:p>
  </w:endnote>
  <w:endnote w:type="continuationSeparator" w:id="0">
    <w:p w14:paraId="17728492" w14:textId="77777777" w:rsidR="0050264E" w:rsidRDefault="0027646A">
      <w:pPr>
        <w:spacing w:after="0" w:line="240" w:lineRule="auto"/>
      </w:pPr>
      <w:r>
        <w:continuationSeparator/>
      </w:r>
    </w:p>
  </w:endnote>
  <w:endnote w:type="continuationNotice" w:id="1">
    <w:p w14:paraId="0BDD40E9" w14:textId="77777777" w:rsidR="0050264E" w:rsidRDefault="005026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0C5B" w14:textId="77777777" w:rsidR="0050264E" w:rsidRDefault="0027646A">
      <w:pPr>
        <w:spacing w:after="0" w:line="240" w:lineRule="auto"/>
      </w:pPr>
      <w:r>
        <w:separator/>
      </w:r>
    </w:p>
  </w:footnote>
  <w:footnote w:type="continuationSeparator" w:id="0">
    <w:p w14:paraId="237A97CA" w14:textId="77777777" w:rsidR="0050264E" w:rsidRDefault="0027646A">
      <w:pPr>
        <w:spacing w:after="0" w:line="240" w:lineRule="auto"/>
      </w:pPr>
      <w:r>
        <w:continuationSeparator/>
      </w:r>
    </w:p>
  </w:footnote>
  <w:footnote w:type="continuationNotice" w:id="1">
    <w:p w14:paraId="612FE6C3" w14:textId="77777777" w:rsidR="0050264E" w:rsidRDefault="005026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2162E"/>
    <w:multiLevelType w:val="hybridMultilevel"/>
    <w:tmpl w:val="AE604782"/>
    <w:lvl w:ilvl="0" w:tplc="EF7E6E2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796" w:hanging="360"/>
      </w:pPr>
    </w:lvl>
    <w:lvl w:ilvl="2" w:tplc="0422001B">
      <w:start w:val="1"/>
      <w:numFmt w:val="lowerRoman"/>
      <w:lvlText w:val="%3."/>
      <w:lvlJc w:val="right"/>
      <w:pPr>
        <w:ind w:left="1516" w:hanging="180"/>
      </w:pPr>
    </w:lvl>
    <w:lvl w:ilvl="3" w:tplc="0422000F">
      <w:start w:val="1"/>
      <w:numFmt w:val="decimal"/>
      <w:lvlText w:val="%4."/>
      <w:lvlJc w:val="left"/>
      <w:pPr>
        <w:ind w:left="2236" w:hanging="360"/>
      </w:pPr>
    </w:lvl>
    <w:lvl w:ilvl="4" w:tplc="04220019">
      <w:start w:val="1"/>
      <w:numFmt w:val="lowerLetter"/>
      <w:lvlText w:val="%5."/>
      <w:lvlJc w:val="left"/>
      <w:pPr>
        <w:ind w:left="2956" w:hanging="360"/>
      </w:pPr>
    </w:lvl>
    <w:lvl w:ilvl="5" w:tplc="0422001B">
      <w:start w:val="1"/>
      <w:numFmt w:val="lowerRoman"/>
      <w:lvlText w:val="%6."/>
      <w:lvlJc w:val="right"/>
      <w:pPr>
        <w:ind w:left="3676" w:hanging="180"/>
      </w:pPr>
    </w:lvl>
    <w:lvl w:ilvl="6" w:tplc="0422000F">
      <w:start w:val="1"/>
      <w:numFmt w:val="decimal"/>
      <w:lvlText w:val="%7."/>
      <w:lvlJc w:val="left"/>
      <w:pPr>
        <w:ind w:left="4396" w:hanging="360"/>
      </w:pPr>
    </w:lvl>
    <w:lvl w:ilvl="7" w:tplc="04220019">
      <w:start w:val="1"/>
      <w:numFmt w:val="lowerLetter"/>
      <w:lvlText w:val="%8."/>
      <w:lvlJc w:val="left"/>
      <w:pPr>
        <w:ind w:left="5116" w:hanging="360"/>
      </w:pPr>
    </w:lvl>
    <w:lvl w:ilvl="8" w:tplc="0422001B">
      <w:start w:val="1"/>
      <w:numFmt w:val="lowerRoman"/>
      <w:lvlText w:val="%9."/>
      <w:lvlJc w:val="right"/>
      <w:pPr>
        <w:ind w:left="5836" w:hanging="180"/>
      </w:pPr>
    </w:lvl>
  </w:abstractNum>
  <w:num w:numId="1" w16cid:durableId="1627270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4E"/>
    <w:rsid w:val="0027646A"/>
    <w:rsid w:val="0050264E"/>
    <w:rsid w:val="008D2EA9"/>
    <w:rsid w:val="00DC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6689"/>
  <w15:docId w15:val="{AFA8EF4A-CA96-4012-B2E0-336B0E59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footnote text"/>
    <w:basedOn w:val="a"/>
    <w:link w:val="a5"/>
    <w:semiHidden/>
    <w:pPr>
      <w:spacing w:after="0" w:line="240" w:lineRule="auto"/>
    </w:pPr>
    <w:rPr>
      <w:sz w:val="20"/>
      <w:szCs w:val="20"/>
    </w:rPr>
  </w:style>
  <w:style w:type="paragraph" w:styleId="a6">
    <w:name w:val="annotation text"/>
    <w:basedOn w:val="a"/>
    <w:link w:val="a7"/>
    <w:semiHidden/>
    <w:pPr>
      <w:spacing w:line="240" w:lineRule="auto"/>
    </w:pPr>
    <w:rPr>
      <w:sz w:val="20"/>
      <w:szCs w:val="20"/>
    </w:rPr>
  </w:style>
  <w:style w:type="paragraph" w:styleId="a8">
    <w:name w:val="header"/>
    <w:basedOn w:val="a"/>
    <w:link w:val="a9"/>
    <w:semiHidden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semiHidden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styleId="ac">
    <w:name w:val="endnote text"/>
    <w:link w:val="ad"/>
    <w:semiHidden/>
    <w:pPr>
      <w:spacing w:after="0" w:line="240" w:lineRule="auto"/>
    </w:pPr>
    <w:rPr>
      <w:sz w:val="20"/>
      <w:szCs w:val="20"/>
    </w:r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a5">
    <w:name w:val="Текст сноски Знак"/>
    <w:basedOn w:val="a0"/>
    <w:link w:val="a4"/>
    <w:semiHidden/>
    <w:rPr>
      <w:sz w:val="20"/>
      <w:szCs w:val="20"/>
    </w:rPr>
  </w:style>
  <w:style w:type="character" w:styleId="af0">
    <w:name w:val="footnote reference"/>
    <w:basedOn w:val="a0"/>
    <w:semiHidden/>
    <w:rPr>
      <w:vertAlign w:val="superscript"/>
    </w:rPr>
  </w:style>
  <w:style w:type="character" w:customStyle="1" w:styleId="a7">
    <w:name w:val="Текст примечания Знак"/>
    <w:basedOn w:val="a0"/>
    <w:link w:val="a6"/>
    <w:semiHidden/>
    <w:rPr>
      <w:sz w:val="20"/>
      <w:szCs w:val="20"/>
    </w:rPr>
  </w:style>
  <w:style w:type="character" w:styleId="af1">
    <w:name w:val="annotation reference"/>
    <w:basedOn w:val="a0"/>
    <w:semiHidden/>
    <w:rPr>
      <w:sz w:val="16"/>
      <w:szCs w:val="16"/>
    </w:rPr>
  </w:style>
  <w:style w:type="character" w:customStyle="1" w:styleId="a9">
    <w:name w:val="Верхний колонтитул Знак"/>
    <w:basedOn w:val="a0"/>
    <w:link w:val="a8"/>
    <w:semiHidden/>
  </w:style>
  <w:style w:type="character" w:customStyle="1" w:styleId="ab">
    <w:name w:val="Нижний колонтитул Знак"/>
    <w:basedOn w:val="a0"/>
    <w:link w:val="aa"/>
    <w:semiHidden/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FootnoteTextChar">
    <w:name w:val="Footnote Text Char"/>
    <w:semiHidden/>
    <w:rPr>
      <w:sz w:val="20"/>
      <w:szCs w:val="20"/>
    </w:rPr>
  </w:style>
  <w:style w:type="character" w:styleId="af2">
    <w:name w:val="endnote reference"/>
    <w:semiHidden/>
    <w:rPr>
      <w:vertAlign w:val="superscript"/>
    </w:rPr>
  </w:style>
  <w:style w:type="character" w:customStyle="1" w:styleId="ad">
    <w:name w:val="Текст концевой сноски Знак"/>
    <w:link w:val="ac"/>
    <w:semiHidden/>
    <w:rPr>
      <w:sz w:val="20"/>
      <w:szCs w:val="20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2BBC60D5A1EA4D93AC0861CD7E5B14" ma:contentTypeVersion="5" ma:contentTypeDescription="Створення нового документа." ma:contentTypeScope="" ma:versionID="1c00ad86b2673ba1245e974e895759a5">
  <xsd:schema xmlns:xsd="http://www.w3.org/2001/XMLSchema" xmlns:xs="http://www.w3.org/2001/XMLSchema" xmlns:p="http://schemas.microsoft.com/office/2006/metadata/properties" xmlns:ns2="98b98d37-ebbb-4a39-ab84-b1238f807dc3" xmlns:ns3="76bfb5bb-1604-4d72-9843-8830db66fd49" targetNamespace="http://schemas.microsoft.com/office/2006/metadata/properties" ma:root="true" ma:fieldsID="15d51a2461185126bbf249cff44bf723" ns2:_="" ns3:_="">
    <xsd:import namespace="98b98d37-ebbb-4a39-ab84-b1238f807dc3"/>
    <xsd:import namespace="76bfb5bb-1604-4d72-9843-8830db66f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98d37-ebbb-4a39-ab84-b1238f807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b5bb-1604-4d72-9843-8830db66f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00D05B-B187-4D24-9829-1DECEB1ABAA6}">
  <ds:schemaRefs>
    <ds:schemaRef ds:uri="http://schemas.microsoft.com/vsto/sampl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C2C19C-41CE-4F6A-BD0A-767B623E9BFC}">
  <ds:schemaRefs>
    <ds:schemaRef ds:uri="http://schemas.microsoft.com/vsto/samples"/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51CB8-ED4B-441A-AF32-8DF3B3B852BE}">
  <ds:schemaRefs>
    <ds:schemaRef ds:uri="http://schemas.microsoft.com/vsto/samples"/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b98d37-ebbb-4a39-ab84-b1238f807dc3"/>
    <ds:schemaRef ds:uri="76bfb5bb-1604-4d72-9843-8830db66f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Панчугін</dc:creator>
  <cp:lastModifiedBy>Юлія Чураченко</cp:lastModifiedBy>
  <cp:revision>2</cp:revision>
  <dcterms:created xsi:type="dcterms:W3CDTF">2025-12-25T14:16:00Z</dcterms:created>
  <dcterms:modified xsi:type="dcterms:W3CDTF">2025-12-25T14:16:00Z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0x010100A32BBC60D5A1EA4D93AC0861CD7E5B14</vt:lpwstr>
  </property>
</Properties>
</file>